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Methodology for Developing an Open-Source Legal and Regulatory Analysis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Mandate for Next-Generation Regulatory Intelligence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administrative state is built upon a vast and ever-expanding corpus of legal and regulatory text. This complex web of rules, intended to ensure safety, fairness, and order, has itself become a source of profound systemic inefficiency. For both the government agencies that create and enforce these rules and the public and private entities that must abide by them, navigating this landscape is an exercise in managing immense complexity. The cumulative effect of this complexity manifests in two distinct but interconnected pathologies: procedural friction and regulatory incoherence. These are not minor operational hurdles; they are fundamental drags on economic growth, innovation, and the effective functioning of government. Addressing these challenges requires a paradigm shift from traditional, human-scale analysis to a new generation of technological tools capable of reasoning over the legal and regulatory system in its entirety. This report outlines a comprehensive blueprint for such a tool: a next-generation, open-source regulatory intelligence engine designed to diagnose and mitigate these systemic failures.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Diagnosing Procedural Friction: The Tax of Complexity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Procedural friction refers to the cumulative burden imposed by the specific regulations, guidelines, and processes that dictate how government agencies operate and how regulated entities must comply.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essential for ensuring transparency, accountability, and fairness, these procedural rules, when poorly designed or excessively accumulated, create a significant "tax" on productive activity. This tax is not merely financial; it is a drain on cognitive resources, time, and innovation potential. The total cost of this friction can be deconstructed into three distinct categories.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are the </w:t>
      </w:r>
      <w:r w:rsidDel="00000000" w:rsidR="00000000" w:rsidRPr="00000000">
        <w:rPr>
          <w:rFonts w:ascii="Google Sans Text" w:cs="Google Sans Text" w:eastAsia="Google Sans Text" w:hAnsi="Google Sans Text"/>
          <w:b w:val="1"/>
          <w:bCs w:val="1"/>
          <w:color w:val="1b1c1d"/>
          <w:rtl w:val="0"/>
        </w:rPr>
        <w:t xml:space="preserve">direct costs</w:t>
      </w:r>
      <w:r w:rsidDel="00000000" w:rsidR="00000000" w:rsidRPr="00000000">
        <w:rPr>
          <w:rFonts w:ascii="Google Sans Text" w:cs="Google Sans Text" w:eastAsia="Google Sans Text" w:hAnsi="Google Sans Text"/>
          <w:color w:val="1b1c1d"/>
          <w:rtl w:val="0"/>
        </w:rPr>
        <w:t xml:space="preserve">, which are the most visible and easily quantifiable expenses associated with compliance. These are the explicit expenditures a business or individual must make to adhere to a regulation, such as the cost of upgrading industrial equipment to meet new environmental standards or implementing new data security protocols.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regulators are often adept at estimating these direct costs, they represent only the tip of the iceberg.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 are the </w:t>
      </w:r>
      <w:r w:rsidDel="00000000" w:rsidR="00000000" w:rsidRPr="00000000">
        <w:rPr>
          <w:rFonts w:ascii="Google Sans Text" w:cs="Google Sans Text" w:eastAsia="Google Sans Text" w:hAnsi="Google Sans Text"/>
          <w:b w:val="1"/>
          <w:bCs w:val="1"/>
          <w:color w:val="1b1c1d"/>
          <w:rtl w:val="0"/>
        </w:rPr>
        <w:t xml:space="preserve">indirect costs</w:t>
      </w:r>
      <w:r w:rsidDel="00000000" w:rsidR="00000000" w:rsidRPr="00000000">
        <w:rPr>
          <w:rFonts w:ascii="Google Sans Text" w:cs="Google Sans Text" w:eastAsia="Google Sans Text" w:hAnsi="Google Sans Text"/>
          <w:color w:val="1b1c1d"/>
          <w:rtl w:val="0"/>
        </w:rPr>
        <w:t xml:space="preserve">, a far larger and more insidious category of expenses. These are the "hidden" costs of compliance that arise from the complexity of the regulatory environment itself. They include the countless hours of management and employee time spent simply trying to determine if a new regulation applies to their operations, interpreting its requirements, and assessing the legal and financial risks of non-compliance. This often necessitates retaining expensive legal counsel, diverting critical resources from core business functions.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the dynamic and often contentious nature of regulation adds another layer of complexity, as businesses must dedicate resources to monitoring legal challenges and anticipating potential changes in administrative policy, all of which creates uncertainty and delays investment.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and most significantly, are the </w:t>
      </w:r>
      <w:r w:rsidDel="00000000" w:rsidR="00000000" w:rsidRPr="00000000">
        <w:rPr>
          <w:rFonts w:ascii="Google Sans Text" w:cs="Google Sans Text" w:eastAsia="Google Sans Text" w:hAnsi="Google Sans Text"/>
          <w:b w:val="1"/>
          <w:bCs w:val="1"/>
          <w:color w:val="1b1c1d"/>
          <w:rtl w:val="0"/>
        </w:rPr>
        <w:t xml:space="preserve">opportunity costs</w:t>
      </w:r>
      <w:r w:rsidDel="00000000" w:rsidR="00000000" w:rsidRPr="00000000">
        <w:rPr>
          <w:rFonts w:ascii="Google Sans Text" w:cs="Google Sans Text" w:eastAsia="Google Sans Text" w:hAnsi="Google Sans Text"/>
          <w:color w:val="1b1c1d"/>
          <w:rtl w:val="0"/>
        </w:rPr>
        <w:t xml:space="preserve">. These represent the value of all forgone activities and innovations that could have occurred had resources not been diverted to navigating procedural friction. A business that spends capital on a government-mandated boiler system no longer has those funds to invest in expanding operations, hiring new employees, or developing more efficient, proprietary technologies.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effect is particularly damaging to innovation. When government regulations are overly prescriptive, mandating specific technologies or methods rather than desired outcomes, they can stifle the incentive for the private sector to develop novel, potentially superior solutions.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has been a long-recognized problem, with various administrations and legislative acts, such as the Regulatory Flexibility Act and the Paperwork Reduction Act, attempting to curb excessive procedural burdens, yet the fundamental challenge persists.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this problem extends beyond mere procedural inefficiency. The scale and interconnectedness of modern regulatory codes have created a system that is, in a practical sense, epistemologically unknowable by human cognition alone. The sheer volume of text, combined with an intricate web of cross-references and interdependent definitions, exceeds the capacity of any single expert or team to fully comprehend and analyze. The issue is not a lack of legal expertise, but a fundamental limitation of human working memory when confronted with a massive, dynamic graph of rules. Consequently, the solution cannot be limited to process improvement or hiring more experts; it requires a technological leap toward tools of cognitive augmentation that can hold and reason over this entire system simultaneously.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Unraveling Regulatory Incoherence: When Rules Contradict Rules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more profound and challenging issue than procedural friction is regulatory incoherence. This phenomenon occurs when different regulations, often developed in isolated policy silos, establish conflicting objectives or create mutually exclusive compliance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not an occasional drafting error but an inherent pathology of large-scale governance, where the left hand of the administrative state does not know—and cannot reasonably be expected to know—what the right hand is mandating.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 the scope and ambition of government have grown, so too has the inevitability of these internal contradictions.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quintessential example of regulatory incoherence can be found in the dual mandates of the Consumer Financial Protection Bureau (CFPB). Created by the Dodd-Frank Act, the CFPB is charged with two primary missions: first, to protect consumers from "unfair, deceptive, and abusive" lending practices, and second, to enforce fair lending laws.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pursuit of the first goal, the CFPB promulgated rules for "Qualified Mortgages," which effectively discourage lenders from making loans to borrowers with low credit scores or other markers of high risk. In pursuit of the second goal, the agency has adopted a "disparate impact" standard, which allows it to infer discrimination from statistical disparities in lending outcomes, even without any evidence of discriminatory intent.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incoherence arises from the collision of these two mandates with a statistical reality: there is a well-documented correlation between race and credit scores in the United States, with minority groups having, on average, lower credit scores than non-minorities.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an impossible dilemma for lenders. If a lender strictly adheres to the Qualified Mortgage rules to avoid predatory lending charges, they will necessarily lend less to high-risk applicants, which will inevitably result in a statistical disparity that exposes them to charges of discrimination under the disparate impact standard. Conversely, if the lender attempts to close this statistical gap by extending more credit to riskier minority borrowers, they expose themselves to regulatory action for engaging in unsafe and potentially abusive lending practices.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lender can thus face legal jeopardy for either making or not making a loan to the same individual, a clear sign of a logically incoherent regulatory framework.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problem is not unique to financial regulation. It is evident across numerous domains, such as the simultaneous government subsidization of the fossil fuel industry and investment in renewable energy, a policy that actively supports both the problem and the solution to climate change, thereby slowing the overall energy transition.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Another example is the tension between the "right to be forgotten" enshrined in the EU's General Data Protection Regulation (GDPR) and the principle of immutability that is fundamental to blockchain technology.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consequences of such incoherence are severe. It creates profound uncertainty, undermines investor confidence, and erodes the effectiveness of public policy, as rational actors are unable to discern clear and consistent signals from the regulatory environment.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systemic inefficiency creates a vicious cycle that stifles innovation on both sides of the regulatory divide. The overwhelming complexity of the rules forces regulated industries into a reactive, manual, and fragmented compliance posture, where all available resources are consumed by the basic task of navigating the current system.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leaves no capacity for proactive investment in innovative compliance technologies. Simultaneously, the government's tendency toward prescriptive micromanagement disincentivizes the private sector from developing better solutions.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proposed system is therefore not merely a tool to navigate the existing labyrinth, but a potential catalyst to break this cycle, enabling a shift toward the more efficient, "outcome-based" regulatory models that policymakers have long desired.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Consequence: Systemic Inefficiency in Regulatory Compliance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combined effects of procedural friction and regulatory incoherence result in a state of chronic, systemic inefficiency for both the regulators and the regulated. This is not a system operating at suboptimal levels; it is a system whose fundamental design creates bottlenecks, duplicates effort, and obscures visibility. The operational reality for organizations attempting to maintain compliance is defined by a set of recurring and predictable challenges.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Task management becomes profoundly inefficient, as compliance-related duties are distributed across multiple departments with no central visibility, leading to unexpected delays and a lack of accountability.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documentation requirements imposed by regulatory bodies have become immense, demanding the creation and maintenance of extensive audit trails that consume considerable resources.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When non-compliance issues are detected, their resolution is often delayed because the necessary corrective actions are not prioritized by the relevant operational departments.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fragmentation also leads to a critical lack of executive visibility; senior leadership and boards of directors often have no real-time, data-driven way to assess the organization's compliance posture, relying instead on periodic, manually compiled reports.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environment is characterized by an over-reliance on manual processes—spreadsheets, emails, and siloed project management systems—which are inherently slow, prone to human error, and resistant to systematic analysis.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Risk management activities are frequently managed in a separate silo from compliance activities. This is a critical flaw, as it leads to the duplication of controls and a failure to gain a holistic view of organizational risk, wasting valuable resources and leaving potential vulnerabilities unaddressed.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regulators, this systemic inefficiency is just as debilitating. It manifests as an inability to conduct systematic reviews of existing regulations, to understand the cumulative burden they impose, or even to perform foundational tasks like accurately counting the number of criminal statutes on the books—a challenge that has eluded federal agencies for decades, as highlighted by the Department of Justice's efforts in 1982. The system has become too large and too complex for its creators to fully comprehend using the tools at their disposal.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Architectural Blueprint for an Open-Source Legal Analysis Engine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address the deeply rooted problems of regulatory friction and incoherence, a new class of analytical tool is required. The proposed system, a successor to the concepts pioneered by Stanford's STARA project, is architected around a set of deliberate, synergistic technological choices designed to meet the unique challenges of legal and regulatory text. The blueprint is founded on three pillars: a powerful, open-source Large Language Model (LLM) with a massive context window; a precision fine-tuning strategy using Low-Rank Adaptation (LoRA) to create specialized legal expertise; and a pragmatic, two-stage hybrid framework for efficient retrieval and deep analysis. This architecture is designed not merely to process legal text, but to comprehend its structure, context, and interconnections at a scale and depth previously unattainable.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Foundational Model: GPT-OSS-120B and the Large Context Advantage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the proposed system is a large-scale, open-source generative pre-trained transformer model, designated here as GPT-OSS-120B. The selection of such a model is predicated on two non-negotiable features: its open accessibility and its exceptionally large context window, specified at 130,000 tokens. These features are not incremental improvements; they represent a fundamental paradigm shift in the analysis of legal documents.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large context window is the single most revolutionary architectural element for this domain. Legal meaning is not contained in isolated sentences or paragraphs; it is constructed through a dense, hierarchical web of cross-references, embedded definitions, and structural relationships that span entire chapters or contracts. Previous generations of language models, constrained by small context windows of a few thousand tokens, forced a destructive preprocessing step: legal documents had to be arbitrarily "chopped" into small, digestible chunks. This process inherently severs the contextual links that are the bedrock of legal interpretation, leading to a significant loss of meaning before the analysis even begins.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130,000-token context window obviates this destructive step. It allows the system to ingest and process entire sections of a municipal code, a complex piece of federal legislation, or a lengthy commercial contract in a single, uninterrupted pass.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capability ensures that all relevant cross-references, definitions, and hierarchical structures are present in the model's attention space simultaneously. The result is a dramatic enhancement in the coherence and accuracy of any analytical task, from summarization to complex question-answering.</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When analyzing a contract, for example, the model can understand how a liability clause in section 12 is directly modified by a definition provided in section 2, a task that is difficult or impossible when the document is fragmented. This ability to retain information over vast stretches of text is essential for comprehending the long-form, logically continuous nature of legal argumentation.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capability is not without significant technical trade-offs. Large context windows demand a substantial increase in computational resources. They lead to higher memory consumption on GPUs, slower processing times due to the quadratic complexity of the transformer's attention mechanism, and consequently, more expensive inference costs.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Therefore, a core component of the project's strategy must involve careful planning for the necessary hardware infrastructure and the implementation of sophisticated optimization techniques to ensure the system is both powerful and practical for real-world deployment.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Precision Through Specialization: The LoRA-centric Fine-Tuning Strategy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foundational LLM provides immense general knowledge and a large analytical workspace, it is not inherently an expert in the specialized dialects and reasoning patterns of the law. To instill this expertise, the system will employ a state-of-the-art, parameter-efficient fine-tuning (PEFT) technique known as Low-Rank Adaptation (LoRA). This choice is critical for making the development of a highly specialized legal AI both feasible and scalable.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conventional approach to specialization, full fine-tuning, involves retraining all billions of parameters in the base model on a new dataset. This process is prohibitively expensive, time-consuming, and computationally intensive, placing it beyond the reach of most organizations.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LoRA offers an elegant and powerful alternative. The core insight behind LoRA is that the changes needed to adapt a pre-trained model to a new task can be represented with a tiny fraction of the original model's parameters.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Instead of modifying the entire model, LoRA freezes the billions of original pre-trained weights and injects small, trainable pairs of "low-rank" matrices (denoted as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and B) into specific layers of the model, typically the attention layers.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fine-tuning process then updates only these small, injected matrices. This is analogous to keeping a massive, authoritative reference book intact and adding a small set of highly focused, task-specific sticky notes and highlights, rather than rewriting the entire volume.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methodology confers several decisive advantages for the proposed legal analysis engine:</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Computational Efficiency:</w:t>
      </w:r>
      <w:r w:rsidDel="00000000" w:rsidR="00000000" w:rsidRPr="00000000">
        <w:rPr>
          <w:rFonts w:ascii="Google Sans Text" w:cs="Google Sans Text" w:eastAsia="Google Sans Text" w:hAnsi="Google Sans Text"/>
          <w:color w:val="1b1c1d"/>
          <w:rtl w:val="0"/>
        </w:rPr>
        <w:t xml:space="preserve"> LoRA dramatically reduces the number of trainable parameters—by a factor of up to 10,000 for a GPT-3 class model—which in turn slashes the GPU memory requirements and training costs, making the fine-tuning process accessible and affordable.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Storage Optimization:</w:t>
      </w:r>
      <w:r w:rsidDel="00000000" w:rsidR="00000000" w:rsidRPr="00000000">
        <w:rPr>
          <w:rFonts w:ascii="Google Sans Text" w:cs="Google Sans Text" w:eastAsia="Google Sans Text" w:hAnsi="Google Sans Text"/>
          <w:color w:val="1b1c1d"/>
          <w:rtl w:val="0"/>
        </w:rPr>
        <w:t xml:space="preserve"> The resulting fine-tuned "adapters" (the trained A and B matrices) are extremely small, often only a few megabytes in size, compared to the hundreds of gigabytes required for a fully fine-tuned model. This allows for the creation and storage of dozens or even hundreds of distinct, specialized legal modules without creating a massive storage burden.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Superior Performance:</w:t>
      </w:r>
      <w:r w:rsidDel="00000000" w:rsidR="00000000" w:rsidRPr="00000000">
        <w:rPr>
          <w:rFonts w:ascii="Google Sans Text" w:cs="Google Sans Text" w:eastAsia="Google Sans Text" w:hAnsi="Google Sans Text"/>
          <w:color w:val="1b1c1d"/>
          <w:rtl w:val="0"/>
        </w:rPr>
        <w:t xml:space="preserve"> Studies have shown that LoRA can achieve performance on par with, and in some cases superior to, full fine-tuning. This is partly attributed to its ability to avoid "catastrophic forgetting," a phenomenon where a fully fine-tuned model loses some of the powerful, general knowledge it acquired during pre-training.</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Zero Inference Latency:</w:t>
      </w:r>
      <w:r w:rsidDel="00000000" w:rsidR="00000000" w:rsidRPr="00000000">
        <w:rPr>
          <w:rFonts w:ascii="Google Sans Text" w:cs="Google Sans Text" w:eastAsia="Google Sans Text" w:hAnsi="Google Sans Text"/>
          <w:color w:val="1b1c1d"/>
          <w:rtl w:val="0"/>
        </w:rPr>
        <w:t xml:space="preserve"> At the time of use (inference), the small LoRA matrices can be mathematically merged with the original frozen weights of the base model. This means that using a specialized adapter adds no additional computational overhead or latency for the end-user, ensuring a responsive and efficient experience.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architectural strategy for this system leverages LoRA's modularity by proposing a "stack" of adapters. This involves creating a layered set of specialized modules: a foundational LoRA trained on general legal reasoning from case law and statutes, a more specific LoRA for statutory analysis tasks, and a suite of highly granular, domain-specific LoRAs for areas like water law, environmental compliance, or municipal governance. This approach allows the system to be precisely tailored to the specific legal question at hand by loading the relevant adapter or combination of adapters.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LoRA-centric strategy fundamentally alters the nature of the asset being created. The organization is not building a single, monolithic legal AI. Instead, it is developing a "portfolio of expertise"—a library of dozens of lightweight, hyper-specialized "AI paralegals" that can be composed and deployed as needed. This creates the future possibility of dynamically loading multiple adapters to tackle complex, cross-domain legal questions, for example, a query that touches upon both environmental law and corporate finance. This transforms the system from a collection of siloed tools into an integrated and dynamic legal reasoning platform.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combination of a large context window with the LoRA fine-tuning strategy redefines the very nature of the training data. With older, small-context models, fine-tuning data typically consisted of isolated, short-form question-and-answer pairs. The 130,000-token window enables a more sophisticated training paradigm. The fine-tuning process is no longer just about teaching the model a </w:t>
      </w:r>
      <w:r w:rsidDel="00000000" w:rsidR="00000000" w:rsidRPr="00000000">
        <w:rPr>
          <w:rFonts w:ascii="Google Sans Text" w:cs="Google Sans Text" w:eastAsia="Google Sans Text" w:hAnsi="Google Sans Text"/>
          <w:i w:val="1"/>
          <w:iCs w:val="1"/>
          <w:color w:val="1b1c1d"/>
          <w:rtl w:val="0"/>
        </w:rPr>
        <w:t xml:space="preserve">style</w:t>
      </w:r>
      <w:r w:rsidDel="00000000" w:rsidR="00000000" w:rsidRPr="00000000">
        <w:rPr>
          <w:rFonts w:ascii="Google Sans Text" w:cs="Google Sans Text" w:eastAsia="Google Sans Text" w:hAnsi="Google Sans Text"/>
          <w:color w:val="1b1c1d"/>
          <w:rtl w:val="0"/>
        </w:rPr>
        <w:t xml:space="preserve"> of answering; it is about teaching it a </w:t>
      </w:r>
      <w:r w:rsidDel="00000000" w:rsidR="00000000" w:rsidRPr="00000000">
        <w:rPr>
          <w:rFonts w:ascii="Google Sans Text" w:cs="Google Sans Text" w:eastAsia="Google Sans Text" w:hAnsi="Google Sans Text"/>
          <w:i w:val="1"/>
          <w:iCs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of reasoning over a complete, complex document. The training data itself can be structured as pairs of (Entire 50-page Contract, List of Ambiguous or Risky Clauses) or (Complete Legislative Bill, Summary of Key Changes and Cross-References). This allows the LoRA adapters to be trained on a much higher level of legal skill, creating a powerful synergy between the base model's architecture and the specialization strategy.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Hybrid Approach: The Two-Stage Retrieval and Analysis Framework</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with a context window of 130,000 tokens, it is computationally infeasible to load the entirety of a jurisdiction's legal code—which can run to millions of provisions—into the model for every query. To address this challenge of scale, the system's architecture employs a pragmatic and efficient two-stage hybrid approach. This framework is not a compromise but an optimization, leveraging the best of traditional information retrieval and modern deep reasoning.</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Stage 1: High-Recall Filtering.</w:t>
      </w:r>
      <w:r w:rsidDel="00000000" w:rsidR="00000000" w:rsidRPr="00000000">
        <w:rPr>
          <w:rFonts w:ascii="Google Sans Text" w:cs="Google Sans Text" w:eastAsia="Google Sans Text" w:hAnsi="Google Sans Text"/>
          <w:color w:val="1b1c1d"/>
          <w:rtl w:val="0"/>
        </w:rPr>
        <w:t xml:space="preserve"> The first stage acts as a wide net, designed to rapidly and efficiently sift through the entire legal corpus to identify a manageable subset of potentially relevant documents. This stage will utilize computationally inexpensive but effective techniques such as keyword searches, vector-based semantic search (similar to the retrieval step in Retrieval-Augmented Generation, or RAG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 simple heuristics. The primary goal of this stage is high recall—ensuring that no potentially relevant provision is missed. The output is a narrowed-down candidate set, reducing the search space from millions of provisions to a few thousand.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Stage 2: High-Precision Analysis.</w:t>
      </w:r>
      <w:r w:rsidDel="00000000" w:rsidR="00000000" w:rsidRPr="00000000">
        <w:rPr>
          <w:rFonts w:ascii="Google Sans Text" w:cs="Google Sans Text" w:eastAsia="Google Sans Text" w:hAnsi="Google Sans Text"/>
          <w:color w:val="1b1c1d"/>
          <w:rtl w:val="0"/>
        </w:rPr>
        <w:t xml:space="preserve"> The second stage takes this curated set of candidate provisions and submits them for deep analysis by the GPT-OSS-120B model, augmented with the appropriate specialized LoRA adapter. This is where the large context window becomes critically important. Each candidate provision is not analyzed in isolation. Instead, it is loaded into the context window along with its surrounding sections, parent chapters, and any explicitly cross-referenced definitions or statutes that were identified during preprocessing. This provides the model with the rich, local context necessary to perform a nuanced and accurate legal interpretation, moving far beyond simple keyword matching to genuine comprehension of the provision's meaning and implications.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two-stage symphony optimizes the system for both speed and analytical depth. It uses fast, scalable retrieval methods for the initial broad search and reserves the more computationally intensive, deep-reasoning capabilities of the LLM for the final, high-precision analysis of the most promising candidates.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comparative analysis of this proposed architecture against both the original STARA concept and current commercial legal AI platforms, highlighting the unique strategic advantages of the open-source, large-context, LoRA-centric approach.</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STARA (Original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Commercial Legal AI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STARA 2.0 (Proposed Architecture)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Model 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Proprietary, limited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Proprietary, "black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Open-source, fully auditable and customizable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Context Window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(e.g., &lt;8K tokens), requiring heavy chunking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often proprietary and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Large (e.g., 130K+ tokens), enabling full-section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Specialization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model with 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Proprietary fine-tuning, non-transparent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Modular, lightweight LoRA adapters for hyper-specialization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Cost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Per-query or subscription fees, high operational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Fixed hardware/development cost, no per-query fees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processed on vendor servers, potential privacy concerns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deployed on-premise or in a secure cloud, ensuring full data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Transparency/Explainability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Opaque, "black box"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open model + traceable outputs with human-in-the-loop design</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Phased Implementation and Operationalization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Translating the architectural blueprint into a functional, reliable, and responsible system requires a structured and disciplined implementation plan. The development process is organized into three distinct but sequential phases: (I) Data Ingestion and Context-Aware Preprocessing, which builds the informational foundation; (II) Development and Validation of Specialized LoRA Adapters, which instills legal expertise; and (III) System Integration and Human-Centric Workflow Design, which assembles the components and ensures their safe and effective use. This phased approach provides a clear roadmap for project management, resource allocation, and iterative development.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I: Data Ingestion and Context-Aware Preprocessing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Phase I is to construct a comprehensive, structured, and machine-readable corpus of legal and regulatory text that will serve as the system's knowledge base. The quality and structure of this data are paramount; the performance of the entire system is predicated on the success of this foundational phase. Indeed, the most significant intellectual property and durable competitive advantage of this system will not reside in the open-source model but in the proprietary data pipeline that transforms chaotic legal text into a perfectly structured input for the AI. This phase involves three key processes.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is </w:t>
      </w:r>
      <w:r w:rsidDel="00000000" w:rsidR="00000000" w:rsidRPr="00000000">
        <w:rPr>
          <w:rFonts w:ascii="Google Sans Text" w:cs="Google Sans Text" w:eastAsia="Google Sans Text" w:hAnsi="Google Sans Text"/>
          <w:b w:val="1"/>
          <w:bCs w:val="1"/>
          <w:color w:val="1b1c1d"/>
          <w:rtl w:val="0"/>
        </w:rPr>
        <w:t xml:space="preserve">Acquisition</w:t>
      </w:r>
      <w:r w:rsidDel="00000000" w:rsidR="00000000" w:rsidRPr="00000000">
        <w:rPr>
          <w:rFonts w:ascii="Google Sans Text" w:cs="Google Sans Text" w:eastAsia="Google Sans Text" w:hAnsi="Google Sans Text"/>
          <w:color w:val="1b1c1d"/>
          <w:rtl w:val="0"/>
        </w:rPr>
        <w:t xml:space="preserve">, the systematic gathering of all relevant legal and regulatory documents. This includes federal and state statutes, administrative rules from agencies, municipal codes, and a curated body of relevant case law. These documents will be sourced from official government websites, legal databases, and public records repositories.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is </w:t>
      </w:r>
      <w:r w:rsidDel="00000000" w:rsidR="00000000" w:rsidRPr="00000000">
        <w:rPr>
          <w:rFonts w:ascii="Google Sans Text" w:cs="Google Sans Text" w:eastAsia="Google Sans Text" w:hAnsi="Google Sans Text"/>
          <w:b w:val="1"/>
          <w:bCs w:val="1"/>
          <w:color w:val="1b1c1d"/>
          <w:rtl w:val="0"/>
        </w:rPr>
        <w:t xml:space="preserve">Parsing and Structuring</w:t>
      </w:r>
      <w:r w:rsidDel="00000000" w:rsidR="00000000" w:rsidRPr="00000000">
        <w:rPr>
          <w:rFonts w:ascii="Google Sans Text" w:cs="Google Sans Text" w:eastAsia="Google Sans Text" w:hAnsi="Google Sans Text"/>
          <w:color w:val="1b1c1d"/>
          <w:rtl w:val="0"/>
        </w:rPr>
        <w:t xml:space="preserve">. Raw legal documents exist in a variety of unstructured formats, such as PDF, HTML, and plain text. This process involves developing sophisticated parsers to convert this raw text into a standardized, structured format like JSON or XML. Crucially, these parsers must be designed to recognize and preserve the natural semantic and hierarchical structure of the law—Title, Chapter, Section, Subsection, and so on. This structured representation is essential for enabling the LLM to navigate and reason about the logical relationships within the legal code.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Third, and most critically, is </w:t>
      </w:r>
      <w:r w:rsidDel="00000000" w:rsidR="00000000" w:rsidRPr="00000000">
        <w:rPr>
          <w:rFonts w:ascii="Google Sans Text" w:cs="Google Sans Text" w:eastAsia="Google Sans Text" w:hAnsi="Google Sans Text"/>
          <w:b w:val="1"/>
          <w:bCs w:val="1"/>
          <w:color w:val="1b1c1d"/>
          <w:rtl w:val="0"/>
        </w:rPr>
        <w:t xml:space="preserve">Contextual Enrichment</w:t>
      </w:r>
      <w:r w:rsidDel="00000000" w:rsidR="00000000" w:rsidRPr="00000000">
        <w:rPr>
          <w:rFonts w:ascii="Google Sans Text" w:cs="Google Sans Text" w:eastAsia="Google Sans Text" w:hAnsi="Google Sans Text"/>
          <w:color w:val="1b1c1d"/>
          <w:rtl w:val="0"/>
        </w:rPr>
        <w:t xml:space="preserve">. This automated process embeds crucial context directly into the structured data, effectively pre-computing a portion of the legal reasoning task. This involves several key transformations:</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Resolving Cross-References:</w:t>
      </w:r>
      <w:r w:rsidDel="00000000" w:rsidR="00000000" w:rsidRPr="00000000">
        <w:rPr>
          <w:rFonts w:ascii="Google Sans Text" w:cs="Google Sans Text" w:eastAsia="Google Sans Text" w:hAnsi="Google Sans Text"/>
          <w:color w:val="1b1c1d"/>
          <w:rtl w:val="0"/>
        </w:rPr>
        <w:t xml:space="preserve"> A script will identify textual citations to other legal provisions (e.g., "as defined in Section 101.a of this Title") and programmatically replace or append the full text of the referenced provision.</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Embedding Definitions:</w:t>
      </w:r>
      <w:r w:rsidDel="00000000" w:rsidR="00000000" w:rsidRPr="00000000">
        <w:rPr>
          <w:rFonts w:ascii="Google Sans Text" w:cs="Google Sans Text" w:eastAsia="Google Sans Text" w:hAnsi="Google Sans Text"/>
          <w:color w:val="1b1c1d"/>
          <w:rtl w:val="0"/>
        </w:rPr>
        <w:t xml:space="preserve"> The system will identify defined terms within a legal text and automatically insert the corresponding definitions at the point of use, ensuring the model does not have to search for them.</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Maintaining Structural Headings:</w:t>
      </w:r>
      <w:r w:rsidDel="00000000" w:rsidR="00000000" w:rsidRPr="00000000">
        <w:rPr>
          <w:rFonts w:ascii="Google Sans Text" w:cs="Google Sans Text" w:eastAsia="Google Sans Text" w:hAnsi="Google Sans Text"/>
          <w:color w:val="1b1c1d"/>
          <w:rtl w:val="0"/>
        </w:rPr>
        <w:t xml:space="preserve"> Clear, consistent headings for each title, chapter, and section are preserved and passed to the model.</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enrichment process maximizes the value of the LLM's large context window. By providing the model with a "pre-digested," contextually complete input, it reduces ambiguity and focuses the model's computational resources on higher-level reasoning rather than basic information retrieval. This step is the key to unlocking the system's full potential.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II: Development and Validation of Specialized LoRA Adapters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foundational data corpus in place, Phase II focuses on creating the specialized legal expertise through the training, testing, and validation of a suite of high-performance LoRA adapters. This phase is an interdisciplinary effort, requiring close collaboration between AI engineers and legal subject matter experts.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step is </w:t>
      </w:r>
      <w:r w:rsidDel="00000000" w:rsidR="00000000" w:rsidRPr="00000000">
        <w:rPr>
          <w:rFonts w:ascii="Google Sans Text" w:cs="Google Sans Text" w:eastAsia="Google Sans Text" w:hAnsi="Google Sans Text"/>
          <w:b w:val="1"/>
          <w:bCs w:val="1"/>
          <w:color w:val="1b1c1d"/>
          <w:rtl w:val="0"/>
        </w:rPr>
        <w:t xml:space="preserve">Dataset Curation</w:t>
      </w:r>
      <w:r w:rsidDel="00000000" w:rsidR="00000000" w:rsidRPr="00000000">
        <w:rPr>
          <w:rFonts w:ascii="Google Sans Text" w:cs="Google Sans Text" w:eastAsia="Google Sans Text" w:hAnsi="Google Sans Text"/>
          <w:color w:val="1b1c1d"/>
          <w:rtl w:val="0"/>
        </w:rPr>
        <w:t xml:space="preserve">. This is the most critical and labor-intensive component of the phase. High-quality training data is the lifeblood of effective fine-tuning. For each desired LoRA adapter (e.g., "general legal reasoning," "water law analysis"), teams of lawyers, paralegals, and policy experts will be required to generate a curated dataset. This data will consist of sophisticated examples of legal tasks, such as question-answer pairs that require nuanced interpretation, summaries of complex judicial opinions, and analyses of hypothetical fact patterns under specific regulatory frameworks.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Next, a robust </w:t>
      </w:r>
      <w:r w:rsidDel="00000000" w:rsidR="00000000" w:rsidRPr="00000000">
        <w:rPr>
          <w:rFonts w:ascii="Google Sans Text" w:cs="Google Sans Text" w:eastAsia="Google Sans Text" w:hAnsi="Google Sans Text"/>
          <w:b w:val="1"/>
          <w:bCs w:val="1"/>
          <w:color w:val="1b1c1d"/>
          <w:rtl w:val="0"/>
        </w:rPr>
        <w:t xml:space="preserve">Training Pipeline</w:t>
      </w:r>
      <w:r w:rsidDel="00000000" w:rsidR="00000000" w:rsidRPr="00000000">
        <w:rPr>
          <w:rFonts w:ascii="Google Sans Text" w:cs="Google Sans Text" w:eastAsia="Google Sans Text" w:hAnsi="Google Sans Text"/>
          <w:color w:val="1b1c1d"/>
          <w:rtl w:val="0"/>
        </w:rPr>
        <w:t xml:space="preserve"> will be established. This pipeline will leverage established frameworks for parameter-efficient fine-tuning, such as the Hugging Face PEFT library.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involves configuring the LoRA parameters for each training run, including selecting the rank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 of the adaptation matrices (which controls the adapter's capacity), the scaling factor alpha (α) (which controls the magnitude of the update), and the specific target_modules within the LLM's architecture (typically the attention layers) to which the adapters will be applied.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this phase is </w:t>
      </w:r>
      <w:r w:rsidDel="00000000" w:rsidR="00000000" w:rsidRPr="00000000">
        <w:rPr>
          <w:rFonts w:ascii="Google Sans Text" w:cs="Google Sans Text" w:eastAsia="Google Sans Text" w:hAnsi="Google Sans Text"/>
          <w:b w:val="1"/>
          <w:bCs w:val="1"/>
          <w:color w:val="1b1c1d"/>
          <w:rtl w:val="0"/>
        </w:rPr>
        <w:t xml:space="preserve">Iterative Evaluation</w:t>
      </w:r>
      <w:r w:rsidDel="00000000" w:rsidR="00000000" w:rsidRPr="00000000">
        <w:rPr>
          <w:rFonts w:ascii="Google Sans Text" w:cs="Google Sans Text" w:eastAsia="Google Sans Text" w:hAnsi="Google Sans Text"/>
          <w:color w:val="1b1c1d"/>
          <w:rtl w:val="0"/>
        </w:rPr>
        <w:t xml:space="preserve">. An adapter's performance cannot be measured by simple accuracy scores alone. A rigorous evaluation framework will be implemented, combining automated metrics with extensive human review. The system's outputs will be benchmarked against established legal reasoning datasets, such as LegalBench, to provide an objective measure of its capabilities across a range of legal tasks.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Most importantly, every generated output for a novel query will be reviewed by legal experts to assess its factual correctness, logical consistency, legal nuance, and freedom from hallucination. This feedback will be used to iteratively refine the training datasets and hyperparameters. The process must also proactively address known challenges associated with LoRA fine-tuning, such as the risk of overfitting to the training data, which can harm generalization, or the potential for catastrophic forgetting of the base model's knowledge.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Standard mitigation techniques, including early stopping, regularization, and meticulous curation of diverse training data, will be integrated into the training pipeline to ensure the resulting adapters are both accurate and robust.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III: System Integration and Human-Centric Workflow Design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implementation phase involves assembling the full, two-stage system and, critically, designing a user interface (UI) and user experience (UX) that embeds the principles of responsible and human-centric AI. The goal is to create a tool that augments, rather than replaces, human expertise.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System Integration</w:t>
      </w:r>
      <w:r w:rsidDel="00000000" w:rsidR="00000000" w:rsidRPr="00000000">
        <w:rPr>
          <w:rFonts w:ascii="Google Sans Text" w:cs="Google Sans Text" w:eastAsia="Google Sans Text" w:hAnsi="Google Sans Text"/>
          <w:color w:val="1b1c1d"/>
          <w:rtl w:val="0"/>
        </w:rPr>
        <w:t xml:space="preserve"> step involves building the technical bridge between the Stage 1 filtering engine and the Stage 2 LLM analysis engine. This requires creating stable APIs and efficient data pipelines to ensure a seamless flow of information from the initial broad search to the final deep analysis.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crucial element of this phase is the design of a </w:t>
      </w:r>
      <w:r w:rsidDel="00000000" w:rsidR="00000000" w:rsidRPr="00000000">
        <w:rPr>
          <w:rFonts w:ascii="Google Sans Text" w:cs="Google Sans Text" w:eastAsia="Google Sans Text" w:hAnsi="Google Sans Text"/>
          <w:b w:val="1"/>
          <w:bCs w:val="1"/>
          <w:color w:val="1b1c1d"/>
          <w:rtl w:val="0"/>
        </w:rPr>
        <w:t xml:space="preserve">Human-in-the-Loop (HITL) Workflow</w:t>
      </w:r>
      <w:r w:rsidDel="00000000" w:rsidR="00000000" w:rsidRPr="00000000">
        <w:rPr>
          <w:rFonts w:ascii="Google Sans Text" w:cs="Google Sans Text" w:eastAsia="Google Sans Text" w:hAnsi="Google Sans Text"/>
          <w:color w:val="1b1c1d"/>
          <w:rtl w:val="0"/>
        </w:rPr>
        <w:t xml:space="preserve">. The user interface will not be a simple search box that returns an opaque answer. It will be an interactive analytical workbench designed to facilitate collaboration between the human expert and the AI. This design will be guided by several core principles:</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Traceability and Explainability:</w:t>
      </w:r>
      <w:r w:rsidDel="00000000" w:rsidR="00000000" w:rsidRPr="00000000">
        <w:rPr>
          <w:rFonts w:ascii="Google Sans Text" w:cs="Google Sans Text" w:eastAsia="Google Sans Text" w:hAnsi="Google Sans Text"/>
          <w:color w:val="1b1c1d"/>
          <w:rtl w:val="0"/>
        </w:rPr>
        <w:t xml:space="preserve"> Every assertion, summary, or conclusion generated by the AI must be explicitly and granularly linked back to the specific sentences or sections in the source legal documents from which it was derived. This allows the human expert to instantly verify the AI's claims and understand its reasoning process.</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Confidence Scoring:</w:t>
      </w:r>
      <w:r w:rsidDel="00000000" w:rsidR="00000000" w:rsidRPr="00000000">
        <w:rPr>
          <w:rFonts w:ascii="Google Sans Text" w:cs="Google Sans Text" w:eastAsia="Google Sans Text" w:hAnsi="Google Sans Text"/>
          <w:color w:val="1b1c1d"/>
          <w:rtl w:val="0"/>
        </w:rPr>
        <w:t xml:space="preserve"> The system will not present its outputs as infallible truths. Where possible, it will provide confidence scores or uncertainty estimates, signaling to the user areas where the analysis may be less certain and requires greater human scrutiny.</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Structured Verification Workflow:</w:t>
      </w:r>
      <w:r w:rsidDel="00000000" w:rsidR="00000000" w:rsidRPr="00000000">
        <w:rPr>
          <w:rFonts w:ascii="Google Sans Text" w:cs="Google Sans Text" w:eastAsia="Google Sans Text" w:hAnsi="Google Sans Text"/>
          <w:color w:val="1b1c1d"/>
          <w:rtl w:val="0"/>
        </w:rPr>
        <w:t xml:space="preserve"> The interface will guide the user through a formal verification process. An initial AI-generated analysis will be presented as a draft, which the human expert can then review, edit, annotate, and ultimately approve. This workflow ensures that no high-stakes decision is made based on unverified AI output, a core requirement for high-risk AI systems under emerging regulatory frameworks.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Mitigation of Automation Bias:</w:t>
      </w:r>
      <w:r w:rsidDel="00000000" w:rsidR="00000000" w:rsidRPr="00000000">
        <w:rPr>
          <w:rFonts w:ascii="Google Sans Text" w:cs="Google Sans Text" w:eastAsia="Google Sans Text" w:hAnsi="Google Sans Text"/>
          <w:color w:val="1b1c1d"/>
          <w:rtl w:val="0"/>
        </w:rPr>
        <w:t xml:space="preserve"> The design will incorporate features to actively combat the human tendency to uncritically accept computer-generated outputs. This can include prompts that ask the user to challenge the AI's reasoning, highlight potential ambiguities in the source text, or consider alternative interpretations. The goal is to keep the human expert actively engaged in a critical dialogue with the system, rather than passively consuming its output.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embedding these principles directly into the workflow, the system ensures that it is deployed not as an autonomous decision-maker, but as a powerful cognitive assistant that enhances the speed, accuracy, and comprehensiveness of human legal and regulatory experts.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Imperatives: The Open-Source Advantage in Public Sector AI</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build this next-generation regulatory intelligence engine on an open-source foundation is not merely a technical choice; it is a profound strategic decision with far-reaching implications for government and the public sector. Opting for open-source technology over proprietary, closed-box solutions provides durable, long-term advantages in innovation, security, cost-effectiveness, and even geopolitical influence. It represents a deliberate policy choice to build sovereign AI capability that is transparent, customizable, and aligned with democratic values.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Accelerating Innovation and Democratizing Access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Open-source software development operates on a fundamentally different paradigm than proprietary development. It fosters a collaborative, global ecosystem where innovation can occur at a pace that no single organization can match.</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When code, research, and tools are shared openly, developers and researchers can build upon the work of others, saving enormous time and resources by not having to reinvent foundational components. This collaborative model, where a larger and more diverse community works together to solve complex problems, share insights, and review each other's work, is a powerful engine for rapid and effective innovation.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approach also serves to democratize access to cutting-edge AI technology. The high cost of licensing and per-query fees for powerful commercial AI models creates a significant barrier to entry, particularly for smaller government agencies, municipal authorities, academic researchers, and non-profit organizations. An open-source system, once developed, can be deployed and customized by any of these entities, leveling the playing field and allowing the benefits of advanced AI to improve a much wider range of public services, from education and energy management to small business development.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an open-source model fundamentally breaks the cycle of vendor lock-in. Government agencies are not tied to a single company's product roadmap, pricing structure, or terms of service. They gain the flexibility and portability to deploy the system in any environment they choose—whether in a secure, on-premise data center or on a preferred cloud provider's infrastructure—maintaining full control over their technological destiny.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Enhancing Security, Transparency, and Trust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public sector applications, particularly those involving sensitive data and high-stakes decisions, transparency is not a luxury; it is a prerequisite for security and public trust. Proprietary AI models operate as "black boxes," where the internal workings, training data, and potential biases are closely guarded trade secrets. It is impossible for external parties, including the government agencies using them, to fully audit their behavior or verify their safety.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Open-source models are, by contrast, fully transparent. The source code, model architecture, and even the model weights can be inspected by security researchers, government auditors, and the public. This allows for a comprehensive and collaborative process of identifying and mitigating security vulnerabilities, uncovering hidden biases, and understanding the model's limitations.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radical transparency is the most effective way to build durable public trust in the government's use of AI.</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open-source AI is essential for ensuring data sovereignty and compliance with stringent government regulations. For agencies that handle classified, law enforcement-sensitive, or personally identifiable information, sending that data to a third-party vendor's servers for processing is often legally or practically impossible. Open-source models can be deployed in completely "air-gapped" environments, operating entirely on secure government hardware with no connection to external resources. This ensures that sensitive data never leaves the agency's control, providing the highest level of security and compliance.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Sovereign, Customizable AI Capability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investing in the development and deployment of an open-source legal AI system, a government agency is doing more than simply acquiring a new tool. It is building a lasting, in-house, sovereign AI capability. This process develops and retains critical technical talent—AI engineers, data scientists, and legal informaticians—within the public sector, reducing reliance on external contractors and building a sustainable foundation for future innovation.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sovereign capability enables a level of customization that is impossible to achieve with generic, off-the-shelf commercial products. The modular LoRA architecture allows an agency to tailor the system with surgical precision to its unique mission and regulatory domain. For example, the Environmental Protection Agency could develop a suite of LoRA adapters specifically trained on the Clean Air Act, the Clean Water Act, and Superfund regulations, while the Department of Transportation could build a parallel suite for Federal Aviation Regulations and highway safety standards.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All of these hyper-specialized applications can be built upon the same shared, open-source foundational infrastructure, creating enormous efficiencies while delivering highly targeted performance.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choice extends beyond domestic policy and into the realm of geopolitics. The global development of artificial intelligence is a competitive landscape. By championing a powerful, open, and transparent standard for legal and regulatory AI, the United States can export not just a technology, but a set of embedded values: transparency, accountability, and democratic access. This approach, which mirrors the success of open-source projects like Android in establishing global market dominance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creates a compelling alternative to the closed, authoritarian models of AI being developed elsewhere. It allows allied nations and emerging democracies to build their own sovereign AI capabilities on a trusted, open foundation, strengthening international partnerships and fostering a global AI ecosystem that is aligned with democratic principles.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In this sense, the project is not just a technological initiative but an instrument of international soft power.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Frontiers: A Framework for Risk Mitigation and Responsible Deployment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Deploying Large Language Models in the high-stakes, zero-tolerance-for-error domain of law and regulation is an endeavor fraught with significant technical and ethical risks. Acknowledging these challenges is not a sign of weakness but a prerequisite for a credible and responsible development strategy. The success of this project hinges not only on its technical capabilities but also on a robust, multi-layered framework designed to proactively identify, mitigate, and manage these inherent risks. This framework addresses three critical frontiers: the danger of factual hallucination, the potential for bias amplification during fine-tuning, and the non-negotiable requirement for meaningful human oversight.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Mitigating Legal Hallucination and Enhancing Factual Grounding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and well-documented technical risk of current LLMs is their pervasive tendency to "hallucinate"—to generate plausible-sounding but factually incorrect or entirely fabricated information.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In a general context, this is problematic; in a legal context, it is catastrophic. Empirical studies have demonstrated that legal hallucinations are disturbingly common, with state-of-the-art models exhibiting error rates ranging from 69% to 88% on specific legal queries.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These models consistently struggle with the structured, multi-step reasoning that is the hallmark of legal analysis.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Therefore, the system's architecture must be designed from the ground up to constrain this behavior and ensure all outputs are grounded in verifiable fact.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mitigation strategy will be the integration of a </w:t>
      </w:r>
      <w:r w:rsidDel="00000000" w:rsidR="00000000" w:rsidRPr="00000000">
        <w:rPr>
          <w:rFonts w:ascii="Google Sans Text" w:cs="Google Sans Text" w:eastAsia="Google Sans Text" w:hAnsi="Google Sans Text"/>
          <w:b w:val="1"/>
          <w:bCs w:val="1"/>
          <w:color w:val="1b1c1d"/>
          <w:rtl w:val="0"/>
        </w:rPr>
        <w:t xml:space="preserve">Retrieval-Augmented Generation (RAG)</w:t>
      </w:r>
      <w:r w:rsidDel="00000000" w:rsidR="00000000" w:rsidRPr="00000000">
        <w:rPr>
          <w:rFonts w:ascii="Google Sans Text" w:cs="Google Sans Text" w:eastAsia="Google Sans Text" w:hAnsi="Google Sans Text"/>
          <w:color w:val="1b1c1d"/>
          <w:rtl w:val="0"/>
        </w:rPr>
        <w:t xml:space="preserve"> framework. A vanilla LLM generates responses based solely on the patterns learned during its training. A RAG-enabled system operates differently. Before generating any response, the model is first required to execute a retrieval step, searching the verified, pre-processed legal corpus to find the specific passages of text that are most relevant to the user's query.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subsequent generation step is then heavily constrained: the model is instructed to synthesize its answer based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on the information contained within these retrieved source documents. This fundamentally changes the model's task from creative generation to sophisticated, evidence-based synthesis. It grounds every output in a verifiable source, transforming the model from a potential fabricator into a powerful tool for summarizing and analyzing trusted information.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secondary and more advanced mitigation strategy, the architecture will be designed to accommodate </w:t>
      </w:r>
      <w:r w:rsidDel="00000000" w:rsidR="00000000" w:rsidRPr="00000000">
        <w:rPr>
          <w:rFonts w:ascii="Google Sans Text" w:cs="Google Sans Text" w:eastAsia="Google Sans Text" w:hAnsi="Google Sans Text"/>
          <w:b w:val="1"/>
          <w:bCs w:val="1"/>
          <w:color w:val="1b1c1d"/>
          <w:rtl w:val="0"/>
        </w:rPr>
        <w:t xml:space="preserve">Neuro-Symbolic Approaches</w:t>
      </w:r>
      <w:r w:rsidDel="00000000" w:rsidR="00000000" w:rsidRPr="00000000">
        <w:rPr>
          <w:rFonts w:ascii="Google Sans Text" w:cs="Google Sans Text" w:eastAsia="Google Sans Text" w:hAnsi="Google Sans Text"/>
          <w:color w:val="1b1c1d"/>
          <w:rtl w:val="0"/>
        </w:rPr>
        <w:t xml:space="preserve">. This hybrid technique leverages the strengths of both neural networks and classical logic-based systems. The LLM is used for what it does best: understanding the nuance and ambiguity of natural language to parse user queries and extract structured information from unstructured legal text. This structured data is then fed into a deterministic, logic-based reasoning engine (an expert system) that can apply legal rules in a transparent, repeatable, and verifiable manner.</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combination of neural perception and symbolic reasoning offers a promising path toward achieving the high levels of accuracy and reliability demanded by the legal domain.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Addressing Bias Amplification in Parameter-Efficient Fine-Tuning</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fine-tuning, while essential for specialization, introduces a significant ethical risk: the amplification of societal biases present in the training data. If a dataset used to train a LoRA adapter contains skewed representations of social groups or reflects historical stereotypes, the fine-tuned model will not only learn these biases but can intensify them.</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Research has shown that PEFT methods can cause a model to overfit on biased examples, leading to faster convergence on spurious correlations and degrading both its out-of-distribution performance and its fairness.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 system deployed in a legal or regulatory context—for example, to analyze fair lending data or parole decisions—must be rigorously protected against such outcomes.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mitigation framework for bias is a multi-stage process:</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Rigorous Data Auditing:</w:t>
      </w:r>
      <w:r w:rsidDel="00000000" w:rsidR="00000000" w:rsidRPr="00000000">
        <w:rPr>
          <w:rFonts w:ascii="Google Sans Text" w:cs="Google Sans Text" w:eastAsia="Google Sans Text" w:hAnsi="Google Sans Text"/>
          <w:color w:val="1b1c1d"/>
          <w:rtl w:val="0"/>
        </w:rPr>
        <w:t xml:space="preserve"> Before any LoRA adapter is trained, the curated fine-tuning dataset will undergo a comprehensive audit. This involves both statistical analysis to detect skewed distributions and qualitative review by diverse teams to identify potentially stereotypical or harmful language. The goal is to identify and mitigate sources of bias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they are ever shown to the model.</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Advanced Debiasing Techniques:</w:t>
      </w:r>
      <w:r w:rsidDel="00000000" w:rsidR="00000000" w:rsidRPr="00000000">
        <w:rPr>
          <w:rFonts w:ascii="Google Sans Text" w:cs="Google Sans Text" w:eastAsia="Google Sans Text" w:hAnsi="Google Sans Text"/>
          <w:color w:val="1b1c1d"/>
          <w:rtl w:val="0"/>
        </w:rPr>
        <w:t xml:space="preserve"> The training process itself will incorporate state-of-the-art debiasing methods. This may include techniques like curriculum debiasing, which involves strategically structuring the training process to present examples in a "biased-to-unbiased" order. This allows the model to first learn general patterns on easier examples before being guided away from reliance on spurious correlations by gradually increasing its exposure to harder, unbiased examples.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Continuous Post-Deployment Monitoring:</w:t>
      </w:r>
      <w:r w:rsidDel="00000000" w:rsidR="00000000" w:rsidRPr="00000000">
        <w:rPr>
          <w:rFonts w:ascii="Google Sans Text" w:cs="Google Sans Text" w:eastAsia="Google Sans Text" w:hAnsi="Google Sans Text"/>
          <w:color w:val="1b1c1d"/>
          <w:rtl w:val="0"/>
        </w:rPr>
        <w:t xml:space="preserve"> The work of ensuring fairness does not end when the model is deployed. The system's outputs will be continuously monitored in production to detect any emerging biased patterns or performance degradation. This creates a feedback loop that allows for the ongoing refinement and retraining of the LoRA adapters to maintain fairness over the system's entire lifecycle.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Essential Role of Human-in-the-Loop (HITL) Verification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and most important layer of risk mitigation is the explicit and robust integration of human expertise into the system's workflow. For high-risk AI systems, particularly those used in law, employment, and access to essential services, human oversight is not an optional feature; it is a fundamental legal and ethical requirement, as codified in emerging regulatory frameworks like the EU AI Act.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is also a strategic necessity for any organization seeking to align its AI systems with its values and protect itself from significant operational and legal liabilities.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of HITL within this system will be guided by three core principles:</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Augmentation, Not Replacement:</w:t>
      </w:r>
      <w:r w:rsidDel="00000000" w:rsidR="00000000" w:rsidRPr="00000000">
        <w:rPr>
          <w:rFonts w:ascii="Google Sans Text" w:cs="Google Sans Text" w:eastAsia="Google Sans Text" w:hAnsi="Google Sans Text"/>
          <w:color w:val="1b1c1d"/>
          <w:rtl w:val="0"/>
        </w:rPr>
        <w:t xml:space="preserve"> The system will be designed to be a cognitive assistant for legal professionals, not an autonomous decision-maker. No final legal determination, compliance assessment, or other high-stakes decision will be permitted to be made by the AI system alone. Every such output must be subject to explicit verification and final approval by a qualified human expert.</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Expert-in-Command:</w:t>
      </w:r>
      <w:r w:rsidDel="00000000" w:rsidR="00000000" w:rsidRPr="00000000">
        <w:rPr>
          <w:rFonts w:ascii="Google Sans Text" w:cs="Google Sans Text" w:eastAsia="Google Sans Text" w:hAnsi="Google Sans Text"/>
          <w:color w:val="1b1c1d"/>
          <w:rtl w:val="0"/>
        </w:rPr>
        <w:t xml:space="preserve"> The workflow will embody a "human in command" principle. The human user will have the ultimate and unambiguous authority to oversee the AI's activity, to decide when and how to use it, and, critically, to disregard, override, or reverse any output or recommendation the system produces.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system will include a "stop" button or similar mechanism to allow a human to safely halt its operation at any time.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User Competency and Training:</w:t>
      </w:r>
      <w:r w:rsidDel="00000000" w:rsidR="00000000" w:rsidRPr="00000000">
        <w:rPr>
          <w:rFonts w:ascii="Google Sans Text" w:cs="Google Sans Text" w:eastAsia="Google Sans Text" w:hAnsi="Google Sans Text"/>
          <w:color w:val="1b1c1d"/>
          <w:rtl w:val="0"/>
        </w:rPr>
        <w:t xml:space="preserve"> Effective oversight requires a competent overseer. All users of the system will be required to undergo training on its capabilities, its known limitations, and the cognitive pitfalls of human-AI interaction, particularly the risk of automation bias. This training will ensure that users are equipped to critically interpret and challenge the AI's outputs, rather than accepting them passively.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provides a structured overview of the key risks associated with this project and the specific mitigation strategies that will be employed to address them.</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Likelihood /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Mitigation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Verification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Factual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Factual Hallucination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Retrieval-Augmented Generation (RAG); Neuro-Symbolic Logic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 Teaming; Continuous expert audit of outputs; Performance on LegalBench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Ethical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Amplification of Dataset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Rigorous pre-training data auditing; Curriculum debiasing techniques; Post-deployment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Fairness metrics analysis (e.g., demographic parity); Qualitative review by diverse expert panels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Model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Catastrophic Forgetting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LoRA (inherently reduces risk); Rehearsal methods; Elastic Weight Consolidation (EWC)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Regular evaluation on base model's original benchmarks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Model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Overfitting on Fine-Tuning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Early stopping during training; Regularization techniques; Diverse and comprehensive training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Monitoring validation loss curves; Testing on out-of-distribution holdout 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Model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Knowledge Degradation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LoRA fine-tuning (targets style over knowledge); Constraining generation to retrieved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Factual accuracy benchmarks before and after fine-tuning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Privacy Leaks from Training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of public domain legal data; Anonymization of any sensitive case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privacy impact assessments; Code reviews for data handling procedures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Human Factors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Automation Bias in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user training on AI limitations; UI design that encourages critical evaluation; HITL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studies and observation; Tracking rates of human override of AI suggestions</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New Paradigm for Legal and Regulatory Intelligence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and expanding web of modern law and regulation has surpassed the limits of unaided human cognition. The resulting procedural friction and regulatory incoherence impose a significant tax on economic vitality, stifle innovation, and impede the effective administration of justice and public policy. The challenge is no longer one of simple process improvement but of cognitive augmentation. It requires a new class of tools capable of comprehending the legal and regulatory landscape with a scope, speed, and precision that is fundamentally beyond human scale.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detailed the strategic vision and technical blueprint for such a tool: a next-generation regulatory intelligence engine built on a foundation of powerful, transparent, and accessible open-source technology. The proposed architecture is a deliberate synthesis of cutting-edge capabilities. The vast context window of the foundational LLM provides the workspace to analyze legal documents holistically, preserving the intricate contextual relationships that are the essence of legal meaning. The parameter-efficient LoRA fine-tuning methodology allows for the creation of a modular, scalable portfolio of hyper-specialized legal expertise, making the system both powerful and economically feasible. The pragmatic two-stage framework ensures operational efficiency, while the unwavering commitment to a human-in-the-loop design guarantees that this powerful technology remains a tool to augment, not supplant, human judgment.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an open-source pathway is a strategic imperative, offering unparalleled advantages in innovation, security, and sovereign control. It democratizes access to advanced AI, breaks the cycle of vendor dependency, and fosters a transparent and trustworthy ecosystem. By embracing this model, public sector institutions can build lasting, in-house capabilities, tailored to their unique missions and aligned with the highest standards of accountability.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this endeavor is more than a technological project. It is the development of a foundational piece of infrastructure for a more transparent, accessible, and coherent system of governance in the 21st century. By providing the means to systematically understand what the law actually says—a task that has proven immensely challenging even for seasoned experts—this system strengthens the rule of law itself. It offers a pathway to reduce the tax of complexity, unravel the knots of incoherence, and unlock the innovative potential currently encumbered by an information system that has outgrown its human operators. This is the mandate for next-generation regulatory intelligence.</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Rules - (AP US Government) - Vocab, Definition, Explanations | Fiveable, accessed September 8, 2025, </w:t>
      </w:r>
      <w:hyperlink r:id="rId6">
        <w:r w:rsidDel="00000000" w:rsidR="00000000" w:rsidRPr="00000000">
          <w:rPr>
            <w:rFonts w:ascii="Google Sans" w:cs="Google Sans" w:eastAsia="Google Sans" w:hAnsi="Google Sans"/>
            <w:color w:val="0000ee"/>
            <w:sz w:val="24"/>
            <w:szCs w:val="24"/>
            <w:u w:val="single"/>
            <w:rtl w:val="0"/>
          </w:rPr>
          <w:t xml:space="preserve">https://library.fiveable.me/key-terms/ap-gov/procedural-rules</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Excessive Regulation Hurts the Economy | U.S. Chamber of ..., accessed September 8, 2025, </w:t>
      </w:r>
      <w:hyperlink r:id="rId7">
        <w:r w:rsidDel="00000000" w:rsidR="00000000" w:rsidRPr="00000000">
          <w:rPr>
            <w:rFonts w:ascii="Google Sans" w:cs="Google Sans" w:eastAsia="Google Sans" w:hAnsi="Google Sans"/>
            <w:color w:val="0000ee"/>
            <w:sz w:val="24"/>
            <w:szCs w:val="24"/>
            <w:u w:val="single"/>
            <w:rtl w:val="0"/>
          </w:rPr>
          <w:t xml:space="preserve">https://www.uschamber.com/economy/how-excessive-regulation-hurts-the-economy</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Rulemaking | U.S. GAO, accessed September 8, 2025, </w:t>
      </w:r>
      <w:hyperlink r:id="rId8">
        <w:r w:rsidDel="00000000" w:rsidR="00000000" w:rsidRPr="00000000">
          <w:rPr>
            <w:rFonts w:ascii="Google Sans" w:cs="Google Sans" w:eastAsia="Google Sans" w:hAnsi="Google Sans"/>
            <w:color w:val="0000ee"/>
            <w:sz w:val="24"/>
            <w:szCs w:val="24"/>
            <w:u w:val="single"/>
            <w:rtl w:val="0"/>
          </w:rPr>
          <w:t xml:space="preserve">https://www.gao.gov/federal-rulemaking</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Implications of Policy Incoherence? - ESG → Sustainability Directory, accessed September 8, 2025, </w:t>
      </w:r>
      <w:hyperlink r:id="rId9">
        <w:r w:rsidDel="00000000" w:rsidR="00000000" w:rsidRPr="00000000">
          <w:rPr>
            <w:rFonts w:ascii="Google Sans" w:cs="Google Sans" w:eastAsia="Google Sans" w:hAnsi="Google Sans"/>
            <w:color w:val="0000ee"/>
            <w:sz w:val="24"/>
            <w:szCs w:val="24"/>
            <w:u w:val="single"/>
            <w:rtl w:val="0"/>
          </w:rPr>
          <w:t xml:space="preserve">https://esg.sustainability-directory.com/question/what-are-the-implications-of-policy-incoherence/</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Decoherence . . . Or Incoherence? - Law &amp; Liberty, accessed September 8, 2025, </w:t>
      </w:r>
      <w:hyperlink r:id="rId10">
        <w:r w:rsidDel="00000000" w:rsidR="00000000" w:rsidRPr="00000000">
          <w:rPr>
            <w:rFonts w:ascii="Google Sans" w:cs="Google Sans" w:eastAsia="Google Sans" w:hAnsi="Google Sans"/>
            <w:color w:val="0000ee"/>
            <w:sz w:val="24"/>
            <w:szCs w:val="24"/>
            <w:u w:val="single"/>
            <w:rtl w:val="0"/>
          </w:rPr>
          <w:t xml:space="preserve">https://lawliberty.org/forum/decoherence-or-incoherence/</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What's law got to do with IT: an analysis of techno-regulatory, accessed September 8, 2025, </w:t>
      </w:r>
      <w:hyperlink r:id="rId11">
        <w:r w:rsidDel="00000000" w:rsidR="00000000" w:rsidRPr="00000000">
          <w:rPr>
            <w:rFonts w:ascii="Google Sans" w:cs="Google Sans" w:eastAsia="Google Sans" w:hAnsi="Google Sans"/>
            <w:color w:val="0000ee"/>
            <w:sz w:val="24"/>
            <w:szCs w:val="24"/>
            <w:u w:val="single"/>
            <w:rtl w:val="0"/>
          </w:rPr>
          <w:t xml:space="preserve">https://www.elgaronline.com/edcollchap/book/9781803921327/chapter4.pdf</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Common Compliance Issues and How to Overcome Them - Sprinto, accessed September 8, 2025, </w:t>
      </w:r>
      <w:hyperlink r:id="rId12">
        <w:r w:rsidDel="00000000" w:rsidR="00000000" w:rsidRPr="00000000">
          <w:rPr>
            <w:rFonts w:ascii="Google Sans" w:cs="Google Sans" w:eastAsia="Google Sans" w:hAnsi="Google Sans"/>
            <w:color w:val="0000ee"/>
            <w:sz w:val="24"/>
            <w:szCs w:val="24"/>
            <w:u w:val="single"/>
            <w:rtl w:val="0"/>
          </w:rPr>
          <w:t xml:space="preserve">https://sprinto.com/blog/compliance-issues/</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the IT Compliance Burden | How to Eliminate Inefficiencies - Hyperproof, accessed September 8, 2025, </w:t>
      </w:r>
      <w:hyperlink r:id="rId13">
        <w:r w:rsidDel="00000000" w:rsidR="00000000" w:rsidRPr="00000000">
          <w:rPr>
            <w:rFonts w:ascii="Google Sans" w:cs="Google Sans" w:eastAsia="Google Sans" w:hAnsi="Google Sans"/>
            <w:color w:val="0000ee"/>
            <w:sz w:val="24"/>
            <w:szCs w:val="24"/>
            <w:u w:val="single"/>
            <w:rtl w:val="0"/>
          </w:rPr>
          <w:t xml:space="preserve">https://hyperproof.io/eliminate-inefficiencies-from-compliance-program/</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Compliance Challenges - 360Factors, accessed September 8, 2025, </w:t>
      </w:r>
      <w:hyperlink r:id="rId14">
        <w:r w:rsidDel="00000000" w:rsidR="00000000" w:rsidRPr="00000000">
          <w:rPr>
            <w:rFonts w:ascii="Google Sans" w:cs="Google Sans" w:eastAsia="Google Sans" w:hAnsi="Google Sans"/>
            <w:color w:val="0000ee"/>
            <w:sz w:val="24"/>
            <w:szCs w:val="24"/>
            <w:u w:val="single"/>
            <w:rtl w:val="0"/>
          </w:rPr>
          <w:t xml:space="preserve">https://www.360factors.com/blog/regulatory-compliance-challenges/</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Context Windows in Large Language Models (LLMs) | by Tahir Saeed, accessed September 8, 2025, </w:t>
      </w:r>
      <w:hyperlink r:id="rId15">
        <w:r w:rsidDel="00000000" w:rsidR="00000000" w:rsidRPr="00000000">
          <w:rPr>
            <w:rFonts w:ascii="Google Sans" w:cs="Google Sans" w:eastAsia="Google Sans" w:hAnsi="Google Sans"/>
            <w:color w:val="0000ee"/>
            <w:sz w:val="24"/>
            <w:szCs w:val="24"/>
            <w:u w:val="single"/>
            <w:rtl w:val="0"/>
          </w:rPr>
          <w:t xml:space="preserve">https://medium.com/@tahir.saeed_46137/understanding-context-windows-in-large-language-models-llms-4ad3dca6b86f</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with largest context windows - Codingscape, accessed September 8, 2025, </w:t>
      </w:r>
      <w:hyperlink r:id="rId16">
        <w:r w:rsidDel="00000000" w:rsidR="00000000" w:rsidRPr="00000000">
          <w:rPr>
            <w:rFonts w:ascii="Google Sans" w:cs="Google Sans" w:eastAsia="Google Sans" w:hAnsi="Google Sans"/>
            <w:color w:val="0000ee"/>
            <w:sz w:val="24"/>
            <w:szCs w:val="24"/>
            <w:u w:val="single"/>
            <w:rtl w:val="0"/>
          </w:rPr>
          <w:t xml:space="preserve">https://codingscape.com/blog/llms-with-largest-context-windows</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Low-Rank Adaptation (LoRA): The Ultimate Guide to Efficient Fine-Tuning of Large Language Models | by Prasun Maity | Medium, accessed September 8, 2025, </w:t>
      </w:r>
      <w:hyperlink r:id="rId17">
        <w:r w:rsidDel="00000000" w:rsidR="00000000" w:rsidRPr="00000000">
          <w:rPr>
            <w:rFonts w:ascii="Google Sans" w:cs="Google Sans" w:eastAsia="Google Sans" w:hAnsi="Google Sans"/>
            <w:color w:val="0000ee"/>
            <w:sz w:val="24"/>
            <w:szCs w:val="24"/>
            <w:u w:val="single"/>
            <w:rtl w:val="0"/>
          </w:rPr>
          <w:t xml:space="preserve">https://medium.com/@prasunmaity/mastering-lora-the-ultimate-guide-to-efficient-llm-fine-tuning-5c9de67e7fe2</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Low-Rank Adaptation of Large Language Models Explained ..., accessed September 8, 2025, </w:t>
      </w:r>
      <w:hyperlink r:id="rId18">
        <w:r w:rsidDel="00000000" w:rsidR="00000000" w:rsidRPr="00000000">
          <w:rPr>
            <w:rFonts w:ascii="Google Sans" w:cs="Google Sans" w:eastAsia="Google Sans" w:hAnsi="Google Sans"/>
            <w:color w:val="0000ee"/>
            <w:sz w:val="24"/>
            <w:szCs w:val="24"/>
            <w:u w:val="single"/>
            <w:rtl w:val="0"/>
          </w:rPr>
          <w:t xml:space="preserve">https://www.digitalocean.com/community/tutorials/lora-low-rank-adaptation-llms-explained</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Low-Rank Adaptation (LoRA): Enhancing Large Language Models for Efficient Adaptation | DataCamp, accessed September 8, 2025, </w:t>
      </w:r>
      <w:hyperlink r:id="rId19">
        <w:r w:rsidDel="00000000" w:rsidR="00000000" w:rsidRPr="00000000">
          <w:rPr>
            <w:rFonts w:ascii="Google Sans" w:cs="Google Sans" w:eastAsia="Google Sans" w:hAnsi="Google Sans"/>
            <w:color w:val="0000ee"/>
            <w:sz w:val="24"/>
            <w:szCs w:val="24"/>
            <w:u w:val="single"/>
            <w:rtl w:val="0"/>
          </w:rPr>
          <w:t xml:space="preserve">https://www.datacamp.com/tutorial/mastering-low-rank-adaptation-lora-enhancing-large-language-models-for-efficient-adaptation</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Fine-Tuning with LoRA for LLMs | Databricks Blog, accessed September 8, 2025, </w:t>
      </w:r>
      <w:hyperlink r:id="rId20">
        <w:r w:rsidDel="00000000" w:rsidR="00000000" w:rsidRPr="00000000">
          <w:rPr>
            <w:rFonts w:ascii="Google Sans" w:cs="Google Sans" w:eastAsia="Google Sans" w:hAnsi="Google Sans"/>
            <w:color w:val="0000ee"/>
            <w:sz w:val="24"/>
            <w:szCs w:val="24"/>
            <w:u w:val="single"/>
            <w:rtl w:val="0"/>
          </w:rPr>
          <w:t xml:space="preserve">https://www.databricks.com/blog/efficient-fine-tuning-lora-guide-llms</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 - Wikipedia, accessed September 8,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https://en.wikipedia.org/wiki/Large_language_model</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LegalBench: A Collaboratively Built Benchmark for Measuring Legal Reasoning in Large Language Models - Stanford's RegLab, accessed September 8, 2025, </w:t>
      </w:r>
      <w:hyperlink r:id="rId22">
        <w:r w:rsidDel="00000000" w:rsidR="00000000" w:rsidRPr="00000000">
          <w:rPr>
            <w:rFonts w:ascii="Google Sans" w:cs="Google Sans" w:eastAsia="Google Sans" w:hAnsi="Google Sans"/>
            <w:color w:val="0000ee"/>
            <w:sz w:val="24"/>
            <w:szCs w:val="24"/>
            <w:u w:val="single"/>
            <w:rtl w:val="0"/>
          </w:rPr>
          <w:t xml:space="preserve">https://reglab.stanford.edu/publications/legalbench-a-collaboratively-built-benchmark-for-measuring-legal-reasoning-in-large-language-models/</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Closer Look at the Limitations of Instruction Tuning - arXiv, accessed September 8, 2025, </w:t>
      </w:r>
      <w:hyperlink r:id="rId23">
        <w:r w:rsidDel="00000000" w:rsidR="00000000" w:rsidRPr="00000000">
          <w:rPr>
            <w:rFonts w:ascii="Google Sans" w:cs="Google Sans" w:eastAsia="Google Sans" w:hAnsi="Google Sans"/>
            <w:color w:val="0000ee"/>
            <w:sz w:val="24"/>
            <w:szCs w:val="24"/>
            <w:u w:val="single"/>
            <w:rtl w:val="0"/>
          </w:rPr>
          <w:t xml:space="preserve">https://arxiv.org/html/2402.05119v2</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Problems Encountered Fine-Tuning LLMs with Solutions - MachineLearningMastery.com, accessed September 8, 2025, </w:t>
      </w:r>
      <w:hyperlink r:id="rId24">
        <w:r w:rsidDel="00000000" w:rsidR="00000000" w:rsidRPr="00000000">
          <w:rPr>
            <w:rFonts w:ascii="Google Sans" w:cs="Google Sans" w:eastAsia="Google Sans" w:hAnsi="Google Sans"/>
            <w:color w:val="0000ee"/>
            <w:sz w:val="24"/>
            <w:szCs w:val="24"/>
            <w:u w:val="single"/>
            <w:rtl w:val="0"/>
          </w:rPr>
          <w:t xml:space="preserve">https://machinelearningmastery.com/5-problems-encountered-fine-tuning-llms-with-solutions/</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Act | Shaping Europe's digital future - European Union, accessed September 8, 2025, </w:t>
      </w:r>
      <w:hyperlink r:id="rId25">
        <w:r w:rsidDel="00000000" w:rsidR="00000000" w:rsidRPr="00000000">
          <w:rPr>
            <w:rFonts w:ascii="Google Sans" w:cs="Google Sans" w:eastAsia="Google Sans" w:hAnsi="Google Sans"/>
            <w:color w:val="0000ee"/>
            <w:sz w:val="24"/>
            <w:szCs w:val="24"/>
            <w:u w:val="single"/>
            <w:rtl w:val="0"/>
          </w:rPr>
          <w:t xml:space="preserve">https://digital-strategy.ec.europa.eu/en/policies/regulatory-framework-ai</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14: Human Oversight | EU Artificial Intelligence Act, accessed September 8, 2025, </w:t>
      </w:r>
      <w:hyperlink r:id="rId26">
        <w:r w:rsidDel="00000000" w:rsidR="00000000" w:rsidRPr="00000000">
          <w:rPr>
            <w:rFonts w:ascii="Google Sans" w:cs="Google Sans" w:eastAsia="Google Sans" w:hAnsi="Google Sans"/>
            <w:color w:val="0000ee"/>
            <w:sz w:val="24"/>
            <w:szCs w:val="24"/>
            <w:u w:val="single"/>
            <w:rtl w:val="0"/>
          </w:rPr>
          <w:t xml:space="preserve">https://artificialintelligenceact.eu/article/14/</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meaningful human oversight of AI should look like - Pinsent Masons, accessed September 8, 2025, </w:t>
      </w:r>
      <w:hyperlink r:id="rId27">
        <w:r w:rsidDel="00000000" w:rsidR="00000000" w:rsidRPr="00000000">
          <w:rPr>
            <w:rFonts w:ascii="Google Sans" w:cs="Google Sans" w:eastAsia="Google Sans" w:hAnsi="Google Sans"/>
            <w:color w:val="0000ee"/>
            <w:sz w:val="24"/>
            <w:szCs w:val="24"/>
            <w:u w:val="single"/>
            <w:rtl w:val="0"/>
          </w:rPr>
          <w:t xml:space="preserve">https://www.pinsentmasons.com/out-law/analysis/what-meaningful-human-oversight-of-ai-should-look-like</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open source is critical to the future of AI - Red Hat, accessed September 8, 2025, </w:t>
      </w:r>
      <w:hyperlink r:id="rId28">
        <w:r w:rsidDel="00000000" w:rsidR="00000000" w:rsidRPr="00000000">
          <w:rPr>
            <w:rFonts w:ascii="Google Sans" w:cs="Google Sans" w:eastAsia="Google Sans" w:hAnsi="Google Sans"/>
            <w:color w:val="0000ee"/>
            <w:sz w:val="24"/>
            <w:szCs w:val="24"/>
            <w:u w:val="single"/>
            <w:rtl w:val="0"/>
          </w:rPr>
          <w:t xml:space="preserve">https://www.redhat.com/en/blog/why-open-source-critical-future-ai</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Government and Public Services: Benefits, Use Cases - Snowflake, accessed September 8, 2025, </w:t>
      </w:r>
      <w:hyperlink r:id="rId29">
        <w:r w:rsidDel="00000000" w:rsidR="00000000" w:rsidRPr="00000000">
          <w:rPr>
            <w:rFonts w:ascii="Google Sans" w:cs="Google Sans" w:eastAsia="Google Sans" w:hAnsi="Google Sans"/>
            <w:color w:val="0000ee"/>
            <w:sz w:val="24"/>
            <w:szCs w:val="24"/>
            <w:u w:val="single"/>
            <w:rtl w:val="0"/>
          </w:rPr>
          <w:t xml:space="preserve">https://www.snowflake.com/en/fundamentals/ai-us-government/</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AI Can Help America Lead in AI and Strengthen Global Security - About Meta, accessed September 8, 2025, </w:t>
      </w:r>
      <w:hyperlink r:id="rId30">
        <w:r w:rsidDel="00000000" w:rsidR="00000000" w:rsidRPr="00000000">
          <w:rPr>
            <w:rFonts w:ascii="Google Sans" w:cs="Google Sans" w:eastAsia="Google Sans" w:hAnsi="Google Sans"/>
            <w:color w:val="0000ee"/>
            <w:sz w:val="24"/>
            <w:szCs w:val="24"/>
            <w:u w:val="single"/>
            <w:rtl w:val="0"/>
          </w:rPr>
          <w:t xml:space="preserve">https://about.fb.com/news/2024/11/open-source-ai-america-global-security/</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for Open-Source Generative AI in Government - Booz Allen, accessed September 8, 2025, </w:t>
      </w:r>
      <w:hyperlink r:id="rId31">
        <w:r w:rsidDel="00000000" w:rsidR="00000000" w:rsidRPr="00000000">
          <w:rPr>
            <w:rFonts w:ascii="Google Sans" w:cs="Google Sans" w:eastAsia="Google Sans" w:hAnsi="Google Sans"/>
            <w:color w:val="0000ee"/>
            <w:sz w:val="24"/>
            <w:szCs w:val="24"/>
            <w:u w:val="single"/>
            <w:rtl w:val="0"/>
          </w:rPr>
          <w:t xml:space="preserve">https://www.boozallen.com/insights/ai-research/the-case-for-open-source-generative-ai-in-government.html</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Open-Source AI is a National Security Imperative - Third Way, accessed September 8, 2025, </w:t>
      </w:r>
      <w:hyperlink r:id="rId32">
        <w:r w:rsidDel="00000000" w:rsidR="00000000" w:rsidRPr="00000000">
          <w:rPr>
            <w:rFonts w:ascii="Google Sans" w:cs="Google Sans" w:eastAsia="Google Sans" w:hAnsi="Google Sans"/>
            <w:color w:val="0000ee"/>
            <w:sz w:val="24"/>
            <w:szCs w:val="24"/>
            <w:u w:val="single"/>
            <w:rtl w:val="0"/>
          </w:rPr>
          <w:t xml:space="preserve">https://www.thirdway.org/report/open-source-ai-is-a-national-security-imperative</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Language Models Hallucinate Legal Analysis, and How Can We Detect Them?, accessed September 8, 2025, </w:t>
      </w:r>
      <w:hyperlink r:id="rId33">
        <w:r w:rsidDel="00000000" w:rsidR="00000000" w:rsidRPr="00000000">
          <w:rPr>
            <w:rFonts w:ascii="Google Sans" w:cs="Google Sans" w:eastAsia="Google Sans" w:hAnsi="Google Sans"/>
            <w:color w:val="0000ee"/>
            <w:sz w:val="24"/>
            <w:szCs w:val="24"/>
            <w:u w:val="single"/>
            <w:rtl w:val="0"/>
          </w:rPr>
          <w:t xml:space="preserve">https://arxiv.org/html/2409.09947v2</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Hallucinating Law: Legal Mistakes with Large ... - Stanford HAI, accessed September 8, 2025, </w:t>
      </w:r>
      <w:hyperlink r:id="rId34">
        <w:r w:rsidDel="00000000" w:rsidR="00000000" w:rsidRPr="00000000">
          <w:rPr>
            <w:rFonts w:ascii="Google Sans" w:cs="Google Sans" w:eastAsia="Google Sans" w:hAnsi="Google Sans"/>
            <w:color w:val="0000ee"/>
            <w:sz w:val="24"/>
            <w:szCs w:val="24"/>
            <w:u w:val="single"/>
            <w:rtl w:val="0"/>
          </w:rPr>
          <w:t xml:space="preserve">https://hai.stanford.edu/news/hallucinating-law-legal-mistakes-large-language-models-are-pervasive</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Reasoning Still a Struggle for LLMs | Foley &amp; Lardner LLP, accessed September 8, 2025, </w:t>
      </w:r>
      <w:hyperlink r:id="rId35">
        <w:r w:rsidDel="00000000" w:rsidR="00000000" w:rsidRPr="00000000">
          <w:rPr>
            <w:rFonts w:ascii="Google Sans" w:cs="Google Sans" w:eastAsia="Google Sans" w:hAnsi="Google Sans"/>
            <w:color w:val="0000ee"/>
            <w:sz w:val="24"/>
            <w:szCs w:val="24"/>
            <w:u w:val="single"/>
            <w:rtl w:val="0"/>
          </w:rPr>
          <w:t xml:space="preserve">https://www.foley.com/p/102kfe5/legal-reasoning-still-a-struggle-for-llms/</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Elevating Legal LLM Responses: Harnessing Trainable Logical Structures and Semantic Knowledge with Legal Reasoning - ACL Anthology, accessed September 8, 2025, </w:t>
      </w:r>
      <w:hyperlink r:id="rId36">
        <w:r w:rsidDel="00000000" w:rsidR="00000000" w:rsidRPr="00000000">
          <w:rPr>
            <w:rFonts w:ascii="Google Sans" w:cs="Google Sans" w:eastAsia="Google Sans" w:hAnsi="Google Sans"/>
            <w:color w:val="0000ee"/>
            <w:sz w:val="24"/>
            <w:szCs w:val="24"/>
            <w:u w:val="single"/>
            <w:rtl w:val="0"/>
          </w:rPr>
          <w:t xml:space="preserve">https://aclanthology.org/2025.naacl-long.290.pdf</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Dallma: Semi-Structured Legal Reasoning and Drafting with Large Language Models - GenLaw ↩︎, accessed September 8, 2025, </w:t>
      </w:r>
      <w:hyperlink r:id="rId37">
        <w:r w:rsidDel="00000000" w:rsidR="00000000" w:rsidRPr="00000000">
          <w:rPr>
            <w:rFonts w:ascii="Google Sans" w:cs="Google Sans" w:eastAsia="Google Sans" w:hAnsi="Google Sans"/>
            <w:color w:val="0000ee"/>
            <w:sz w:val="24"/>
            <w:szCs w:val="24"/>
            <w:u w:val="single"/>
            <w:rtl w:val="0"/>
          </w:rPr>
          <w:t xml:space="preserve">https://blog.genlaw.org/pdfs/genlaw_icml2024/58.pdf</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Robust Legal Reasoning: Harnessing Logical LLMs in Law - OpenReview, accessed September 8, 2025, </w:t>
      </w:r>
      <w:hyperlink r:id="rId38">
        <w:r w:rsidDel="00000000" w:rsidR="00000000" w:rsidRPr="00000000">
          <w:rPr>
            <w:rFonts w:ascii="Google Sans" w:cs="Google Sans" w:eastAsia="Google Sans" w:hAnsi="Google Sans"/>
            <w:color w:val="0000ee"/>
            <w:sz w:val="24"/>
            <w:szCs w:val="24"/>
            <w:u w:val="single"/>
            <w:rtl w:val="0"/>
          </w:rPr>
          <w:t xml:space="preserve">https://openreview.net/forum?id=z0jndI6skT</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Checklist: Addressing Language Bias in Fine-Tuned Language Models - newline, accessed September 8, 2025, </w:t>
      </w:r>
      <w:hyperlink r:id="rId39">
        <w:r w:rsidDel="00000000" w:rsidR="00000000" w:rsidRPr="00000000">
          <w:rPr>
            <w:rFonts w:ascii="Google Sans" w:cs="Google Sans" w:eastAsia="Google Sans" w:hAnsi="Google Sans"/>
            <w:color w:val="0000ee"/>
            <w:sz w:val="24"/>
            <w:szCs w:val="24"/>
            <w:u w:val="single"/>
            <w:rtl w:val="0"/>
          </w:rPr>
          <w:t xml:space="preserve">https://www.newline.co/@Dipen/essential-checklist-addressing-language-bias-in-fine-tuned-language-models--a3dab6e9</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Mitigation in Fine-tuning Pre-trained Models for Enhanced Fairness and Efficiency, accessed September 8, 2025, </w:t>
      </w:r>
      <w:hyperlink r:id="rId40">
        <w:r w:rsidDel="00000000" w:rsidR="00000000" w:rsidRPr="00000000">
          <w:rPr>
            <w:rFonts w:ascii="Google Sans" w:cs="Google Sans" w:eastAsia="Google Sans" w:hAnsi="Google Sans"/>
            <w:color w:val="0000ee"/>
            <w:sz w:val="24"/>
            <w:szCs w:val="24"/>
            <w:u w:val="single"/>
            <w:rtl w:val="0"/>
          </w:rPr>
          <w:t xml:space="preserve">https://arxiv.org/html/2403.00625v1</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Amplification: Large Language Models as Increasingly Biased Media - arXiv, accessed September 8, 2025, </w:t>
      </w:r>
      <w:hyperlink r:id="rId41">
        <w:r w:rsidDel="00000000" w:rsidR="00000000" w:rsidRPr="00000000">
          <w:rPr>
            <w:rFonts w:ascii="Google Sans" w:cs="Google Sans" w:eastAsia="Google Sans" w:hAnsi="Google Sans"/>
            <w:color w:val="0000ee"/>
            <w:sz w:val="24"/>
            <w:szCs w:val="24"/>
            <w:u w:val="single"/>
            <w:rtl w:val="0"/>
          </w:rPr>
          <w:t xml:space="preserve">https://arxiv.org/html/2410.15234v3</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Curriculum Debiasing: Toward Robust Parameter-Efficient Fine ..., accessed September 8, 2025, </w:t>
      </w:r>
      <w:hyperlink r:id="rId42">
        <w:r w:rsidDel="00000000" w:rsidR="00000000" w:rsidRPr="00000000">
          <w:rPr>
            <w:rFonts w:ascii="Google Sans" w:cs="Google Sans" w:eastAsia="Google Sans" w:hAnsi="Google Sans"/>
            <w:color w:val="0000ee"/>
            <w:sz w:val="24"/>
            <w:szCs w:val="24"/>
            <w:u w:val="single"/>
            <w:rtl w:val="0"/>
          </w:rPr>
          <w:t xml:space="preserve">https://aclanthology.org/2025.acl-long.469/</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Act requires human oversight | BearingPoint USA, accessed September 8, 2025, </w:t>
      </w:r>
      <w:hyperlink r:id="rId43">
        <w:r w:rsidDel="00000000" w:rsidR="00000000" w:rsidRPr="00000000">
          <w:rPr>
            <w:rFonts w:ascii="Google Sans" w:cs="Google Sans" w:eastAsia="Google Sans" w:hAnsi="Google Sans"/>
            <w:color w:val="0000ee"/>
            <w:sz w:val="24"/>
            <w:szCs w:val="24"/>
            <w:u w:val="single"/>
            <w:rtl w:val="0"/>
          </w:rPr>
          <w:t xml:space="preserve">https://www.bearingpoint.com/en-us/insights-events/insights/the-ai-act-requires-human-oversight/</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Oversight in AI | Enkrypt AI, accessed September 8, 2025, </w:t>
      </w:r>
      <w:hyperlink r:id="rId44">
        <w:r w:rsidDel="00000000" w:rsidR="00000000" w:rsidRPr="00000000">
          <w:rPr>
            <w:rFonts w:ascii="Google Sans" w:cs="Google Sans" w:eastAsia="Google Sans" w:hAnsi="Google Sans"/>
            <w:color w:val="0000ee"/>
            <w:sz w:val="24"/>
            <w:szCs w:val="24"/>
            <w:u w:val="single"/>
            <w:rtl w:val="0"/>
          </w:rPr>
          <w:t xml:space="preserve">https://www.enkryptai.com/glossary/human-oversight-in-ai</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Strategic Necessity of Human Oversight in AI Systems, accessed September 8, 2025, </w:t>
      </w:r>
      <w:hyperlink r:id="rId45">
        <w:r w:rsidDel="00000000" w:rsidR="00000000" w:rsidRPr="00000000">
          <w:rPr>
            <w:rFonts w:ascii="Google Sans" w:cs="Google Sans" w:eastAsia="Google Sans" w:hAnsi="Google Sans"/>
            <w:color w:val="0000ee"/>
            <w:sz w:val="24"/>
            <w:szCs w:val="24"/>
            <w:u w:val="single"/>
            <w:rtl w:val="0"/>
          </w:rPr>
          <w:t xml:space="preserve">https://www.lumenova.ai/blog/strategic-necessity-human-oversight-ai-systems/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html/2403.00625v1" TargetMode="External"/><Relationship Id="rId20" Type="http://schemas.openxmlformats.org/officeDocument/2006/relationships/hyperlink" Target="https://www.databricks.com/blog/efficient-fine-tuning-lora-guide-llms" TargetMode="External"/><Relationship Id="rId42" Type="http://schemas.openxmlformats.org/officeDocument/2006/relationships/hyperlink" Target="https://aclanthology.org/2025.acl-long.469/" TargetMode="External"/><Relationship Id="rId41" Type="http://schemas.openxmlformats.org/officeDocument/2006/relationships/hyperlink" Target="https://arxiv.org/html/2410.15234v3" TargetMode="External"/><Relationship Id="rId22" Type="http://schemas.openxmlformats.org/officeDocument/2006/relationships/hyperlink" Target="https://reglab.stanford.edu/publications/legalbench-a-collaboratively-built-benchmark-for-measuring-legal-reasoning-in-large-language-models/" TargetMode="External"/><Relationship Id="rId44" Type="http://schemas.openxmlformats.org/officeDocument/2006/relationships/hyperlink" Target="https://www.enkryptai.com/glossary/human-oversight-in-ai" TargetMode="External"/><Relationship Id="rId21" Type="http://schemas.openxmlformats.org/officeDocument/2006/relationships/hyperlink" Target="https://en.wikipedia.org/wiki/Large_language_model" TargetMode="External"/><Relationship Id="rId43" Type="http://schemas.openxmlformats.org/officeDocument/2006/relationships/hyperlink" Target="https://www.bearingpoint.com/en-us/insights-events/insights/the-ai-act-requires-human-oversight/" TargetMode="External"/><Relationship Id="rId24" Type="http://schemas.openxmlformats.org/officeDocument/2006/relationships/hyperlink" Target="https://machinelearningmastery.com/5-problems-encountered-fine-tuning-llms-with-solutions/" TargetMode="External"/><Relationship Id="rId23" Type="http://schemas.openxmlformats.org/officeDocument/2006/relationships/hyperlink" Target="https://arxiv.org/html/2402.05119v2" TargetMode="External"/><Relationship Id="rId45" Type="http://schemas.openxmlformats.org/officeDocument/2006/relationships/hyperlink" Target="https://www.lumenova.ai/blog/strategic-necessity-human-oversight-ai-syste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sg.sustainability-directory.com/question/what-are-the-implications-of-policy-incoherence/" TargetMode="External"/><Relationship Id="rId26" Type="http://schemas.openxmlformats.org/officeDocument/2006/relationships/hyperlink" Target="https://artificialintelligenceact.eu/article/14/" TargetMode="External"/><Relationship Id="rId25" Type="http://schemas.openxmlformats.org/officeDocument/2006/relationships/hyperlink" Target="https://digital-strategy.ec.europa.eu/en/policies/regulatory-framework-ai" TargetMode="External"/><Relationship Id="rId28" Type="http://schemas.openxmlformats.org/officeDocument/2006/relationships/hyperlink" Target="https://www.redhat.com/en/blog/why-open-source-critical-future-ai" TargetMode="External"/><Relationship Id="rId27" Type="http://schemas.openxmlformats.org/officeDocument/2006/relationships/hyperlink" Target="https://www.pinsentmasons.com/out-law/analysis/what-meaningful-human-oversight-of-ai-should-look-like" TargetMode="External"/><Relationship Id="rId5" Type="http://schemas.openxmlformats.org/officeDocument/2006/relationships/styles" Target="styles.xml"/><Relationship Id="rId6" Type="http://schemas.openxmlformats.org/officeDocument/2006/relationships/hyperlink" Target="https://library.fiveable.me/key-terms/ap-gov/procedural-rules" TargetMode="External"/><Relationship Id="rId29" Type="http://schemas.openxmlformats.org/officeDocument/2006/relationships/hyperlink" Target="https://www.snowflake.com/en/fundamentals/ai-us-government/" TargetMode="External"/><Relationship Id="rId7" Type="http://schemas.openxmlformats.org/officeDocument/2006/relationships/hyperlink" Target="https://www.uschamber.com/economy/how-excessive-regulation-hurts-the-economy" TargetMode="External"/><Relationship Id="rId8" Type="http://schemas.openxmlformats.org/officeDocument/2006/relationships/hyperlink" Target="https://www.gao.gov/federal-rulemaking" TargetMode="External"/><Relationship Id="rId31" Type="http://schemas.openxmlformats.org/officeDocument/2006/relationships/hyperlink" Target="https://www.boozallen.com/insights/ai-research/the-case-for-open-source-generative-ai-in-government.html" TargetMode="External"/><Relationship Id="rId30" Type="http://schemas.openxmlformats.org/officeDocument/2006/relationships/hyperlink" Target="https://about.fb.com/news/2024/11/open-source-ai-america-global-security/" TargetMode="External"/><Relationship Id="rId11" Type="http://schemas.openxmlformats.org/officeDocument/2006/relationships/hyperlink" Target="https://www.elgaronline.com/edcollchap/book/9781803921327/chapter4.pdf" TargetMode="External"/><Relationship Id="rId33" Type="http://schemas.openxmlformats.org/officeDocument/2006/relationships/hyperlink" Target="https://arxiv.org/html/2409.09947v2" TargetMode="External"/><Relationship Id="rId10" Type="http://schemas.openxmlformats.org/officeDocument/2006/relationships/hyperlink" Target="https://lawliberty.org/forum/decoherence-or-incoherence/" TargetMode="External"/><Relationship Id="rId32" Type="http://schemas.openxmlformats.org/officeDocument/2006/relationships/hyperlink" Target="https://www.thirdway.org/report/open-source-ai-is-a-national-security-imperative" TargetMode="External"/><Relationship Id="rId13" Type="http://schemas.openxmlformats.org/officeDocument/2006/relationships/hyperlink" Target="https://hyperproof.io/eliminate-inefficiencies-from-compliance-program/" TargetMode="External"/><Relationship Id="rId35" Type="http://schemas.openxmlformats.org/officeDocument/2006/relationships/hyperlink" Target="https://www.foley.com/p/102kfe5/legal-reasoning-still-a-struggle-for-llms/" TargetMode="External"/><Relationship Id="rId12" Type="http://schemas.openxmlformats.org/officeDocument/2006/relationships/hyperlink" Target="https://sprinto.com/blog/compliance-issues/" TargetMode="External"/><Relationship Id="rId34" Type="http://schemas.openxmlformats.org/officeDocument/2006/relationships/hyperlink" Target="https://hai.stanford.edu/news/hallucinating-law-legal-mistakes-large-language-models-are-pervasive" TargetMode="External"/><Relationship Id="rId15" Type="http://schemas.openxmlformats.org/officeDocument/2006/relationships/hyperlink" Target="https://medium.com/@tahir.saeed_46137/understanding-context-windows-in-large-language-models-llms-4ad3dca6b86f" TargetMode="External"/><Relationship Id="rId37" Type="http://schemas.openxmlformats.org/officeDocument/2006/relationships/hyperlink" Target="https://blog.genlaw.org/pdfs/genlaw_icml2024/58.pdf" TargetMode="External"/><Relationship Id="rId14" Type="http://schemas.openxmlformats.org/officeDocument/2006/relationships/hyperlink" Target="https://www.360factors.com/blog/regulatory-compliance-challenges/" TargetMode="External"/><Relationship Id="rId36" Type="http://schemas.openxmlformats.org/officeDocument/2006/relationships/hyperlink" Target="https://aclanthology.org/2025.naacl-long.290.pdf" TargetMode="External"/><Relationship Id="rId17" Type="http://schemas.openxmlformats.org/officeDocument/2006/relationships/hyperlink" Target="https://medium.com/@prasunmaity/mastering-lora-the-ultimate-guide-to-efficient-llm-fine-tuning-5c9de67e7fe2" TargetMode="External"/><Relationship Id="rId39" Type="http://schemas.openxmlformats.org/officeDocument/2006/relationships/hyperlink" Target="https://www.newline.co/@Dipen/essential-checklist-addressing-language-bias-in-fine-tuned-language-models--a3dab6e9" TargetMode="External"/><Relationship Id="rId16" Type="http://schemas.openxmlformats.org/officeDocument/2006/relationships/hyperlink" Target="https://codingscape.com/blog/llms-with-largest-context-windows" TargetMode="External"/><Relationship Id="rId38" Type="http://schemas.openxmlformats.org/officeDocument/2006/relationships/hyperlink" Target="https://openreview.net/forum?id=z0jndI6skT" TargetMode="External"/><Relationship Id="rId19" Type="http://schemas.openxmlformats.org/officeDocument/2006/relationships/hyperlink" Target="https://www.datacamp.com/tutorial/mastering-low-rank-adaptation-lora-enhancing-large-language-models-for-efficient-adaptation" TargetMode="External"/><Relationship Id="rId18" Type="http://schemas.openxmlformats.org/officeDocument/2006/relationships/hyperlink" Target="https://www.digitalocean.com/community/tutorials/lora-low-rank-adaptation-llms-explain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